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jc w:val="left"/>
        <w:rPr>
          <w:rFonts w:ascii="Arial" w:hAnsi="Arial" w:eastAsia="Times New Roman"/>
          <w:b/>
          <w:bCs/>
          <w:i/>
          <w:sz w:val="24"/>
          <w:szCs w:val="24"/>
          <w:lang w:val="en-GB" w:eastAsia="en-US"/>
        </w:rPr>
      </w:pPr>
      <w:bookmarkStart w:id="0" w:name="_Hlk110460279"/>
      <w:bookmarkStart w:id="9" w:name="_GoBack"/>
      <w:bookmarkEnd w:id="9"/>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w:t>
      </w:r>
      <w:r>
        <w:rPr>
          <w:rFonts w:hint="eastAsia" w:ascii="Arial" w:hAnsi="Arial" w:eastAsia="Times New Roman" w:cs="Arial"/>
          <w:b/>
          <w:sz w:val="24"/>
          <w:szCs w:val="24"/>
          <w:lang w:val="en-GB" w:eastAsia="en-US"/>
        </w:rPr>
        <w:t xml:space="preserve"> #129bis</w:t>
      </w:r>
      <w:r>
        <w:rPr>
          <w:rFonts w:hint="eastAsia" w:ascii="Arial" w:hAnsi="Arial" w:eastAsia="宋体" w:cs="Arial"/>
          <w:b/>
          <w:sz w:val="24"/>
          <w:szCs w:val="24"/>
        </w:rPr>
        <w:t xml:space="preserve">                            </w:t>
      </w:r>
      <w:r>
        <w:rPr>
          <w:rFonts w:hint="eastAsia" w:ascii="Arial" w:hAnsi="Arial" w:eastAsia="Times New Roman"/>
          <w:b/>
          <w:bCs/>
          <w:sz w:val="24"/>
          <w:szCs w:val="24"/>
          <w:lang w:val="en-GB" w:eastAsia="en-US"/>
        </w:rPr>
        <w:t>R2-2502243</w:t>
      </w:r>
    </w:p>
    <w:p>
      <w:pPr>
        <w:pStyle w:val="60"/>
        <w:tabs>
          <w:tab w:val="left" w:pos="1701"/>
          <w:tab w:val="right" w:pos="9923"/>
          <w:tab w:val="clear" w:pos="4536"/>
          <w:tab w:val="clear" w:pos="9072"/>
        </w:tabs>
        <w:rPr>
          <w:sz w:val="24"/>
          <w:szCs w:val="36"/>
        </w:rPr>
      </w:pPr>
      <w:r>
        <w:rPr>
          <w:rFonts w:hint="eastAsia"/>
          <w:sz w:val="24"/>
          <w:szCs w:val="36"/>
        </w:rPr>
        <w:t>Wuhan, China, Apr. 7</w:t>
      </w:r>
      <w:r>
        <w:rPr>
          <w:rFonts w:hint="eastAsia"/>
          <w:sz w:val="24"/>
          <w:szCs w:val="36"/>
          <w:vertAlign w:val="superscript"/>
        </w:rPr>
        <w:t>th</w:t>
      </w:r>
      <w:r>
        <w:rPr>
          <w:rFonts w:hint="eastAsia"/>
          <w:sz w:val="24"/>
          <w:szCs w:val="36"/>
        </w:rPr>
        <w:t xml:space="preserve"> – 11</w:t>
      </w:r>
      <w:r>
        <w:rPr>
          <w:rFonts w:hint="eastAsia"/>
          <w:sz w:val="24"/>
          <w:szCs w:val="36"/>
          <w:vertAlign w:val="superscript"/>
        </w:rPr>
        <w:t>th</w:t>
      </w:r>
      <w:r>
        <w:rPr>
          <w:rFonts w:hint="eastAsia"/>
          <w:sz w:val="24"/>
          <w:szCs w:val="36"/>
        </w:rPr>
        <w:t xml:space="preserve"> , 2025</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1"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OLE_LINK5"/>
      <w:bookmarkStart w:id="3" w:name="OLE_LINK15"/>
      <w:bookmarkStart w:id="4" w:name="_Hlk135042323"/>
      <w:r>
        <w:rPr>
          <w:rFonts w:hint="eastAsia" w:ascii="Arial" w:hAnsi="Arial" w:eastAsia="宋体" w:cs="Arial"/>
          <w:b/>
          <w:kern w:val="0"/>
          <w:sz w:val="22"/>
        </w:rPr>
        <w:t>Random access</w:t>
      </w:r>
      <w:bookmarkEnd w:id="2"/>
      <w:r>
        <w:rPr>
          <w:rFonts w:hint="eastAsia" w:ascii="Arial" w:hAnsi="Arial" w:eastAsia="宋体" w:cs="Arial"/>
          <w:b/>
          <w:kern w:val="0"/>
          <w:sz w:val="22"/>
        </w:rPr>
        <w:t xml:space="preserve"> procedure for ambient IoT</w:t>
      </w:r>
    </w:p>
    <w:bookmarkEnd w:id="3"/>
    <w:bookmarkEnd w:id="4"/>
    <w:p>
      <w:pPr>
        <w:widowControl/>
        <w:tabs>
          <w:tab w:val="left" w:pos="1800"/>
          <w:tab w:val="center" w:pos="4536"/>
          <w:tab w:val="right" w:pos="9072"/>
        </w:tabs>
        <w:jc w:val="left"/>
        <w:rPr>
          <w:rFonts w:ascii="Arial" w:hAnsi="Arial" w:eastAsia="宋体" w:cs="Times New Roman"/>
          <w:b/>
          <w:kern w:val="0"/>
          <w:sz w:val="22"/>
        </w:rPr>
      </w:pPr>
      <w:r>
        <w:rPr>
          <w:rFonts w:ascii="Arial" w:hAnsi="Arial" w:eastAsia="MS Mincho" w:cs="Arial"/>
          <w:b/>
          <w:kern w:val="0"/>
          <w:sz w:val="22"/>
          <w:lang w:eastAsia="en-US"/>
        </w:rPr>
        <w:t>Agenda Item:</w:t>
      </w:r>
      <w:bookmarkStart w:id="5" w:name="Source"/>
      <w:bookmarkEnd w:id="5"/>
      <w:r>
        <w:rPr>
          <w:rFonts w:ascii="Arial" w:hAnsi="Arial" w:eastAsia="MS Mincho" w:cs="Arial"/>
          <w:b/>
          <w:kern w:val="0"/>
          <w:sz w:val="22"/>
          <w:lang w:eastAsia="en-US"/>
        </w:rPr>
        <w:tab/>
      </w:r>
      <w:r>
        <w:rPr>
          <w:rFonts w:hint="eastAsia" w:ascii="Arial" w:hAnsi="Arial" w:eastAsia="宋体" w:cs="Arial"/>
          <w:b/>
          <w:kern w:val="0"/>
          <w:sz w:val="22"/>
        </w:rPr>
        <w:t>8.2.3</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18"/>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pPr>
        <w:widowControl/>
        <w:spacing w:before="120" w:after="120" w:line="360"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In the last RAN2#129 meeting, we discussed the content related to A-IoT random access procedure. </w:t>
      </w:r>
      <w:r>
        <w:rPr>
          <w:rFonts w:ascii="Times New Roman" w:hAnsi="Times New Roman" w:eastAsia="宋体" w:cs="Times New Roman"/>
          <w:kern w:val="0"/>
          <w:sz w:val="20"/>
          <w:szCs w:val="20"/>
        </w:rPr>
        <w:t xml:space="preserve">The relevant </w:t>
      </w:r>
      <w:r>
        <w:rPr>
          <w:rFonts w:hint="eastAsia" w:ascii="Times New Roman" w:hAnsi="Times New Roman" w:eastAsia="宋体" w:cs="Times New Roman"/>
          <w:kern w:val="0"/>
          <w:sz w:val="20"/>
          <w:szCs w:val="20"/>
        </w:rPr>
        <w:t>agreements</w:t>
      </w:r>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rPr>
        <w:t>are shown as follows [1].</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line="360" w:lineRule="auto"/>
              <w:rPr>
                <w:rFonts w:ascii="Times New Roman" w:hAnsi="Times New Roman" w:eastAsia="宋体" w:cs="Times New Roman"/>
                <w:kern w:val="0"/>
                <w:sz w:val="20"/>
                <w:szCs w:val="20"/>
                <w:lang w:eastAsia="ko-KR"/>
              </w:rPr>
            </w:pPr>
            <w:r>
              <w:rPr>
                <w:rFonts w:ascii="Times New Roman" w:hAnsi="Times New Roman" w:eastAsia="宋体" w:cs="Times New Roman"/>
                <w:kern w:val="0"/>
                <w:sz w:val="20"/>
                <w:szCs w:val="20"/>
              </w:rPr>
              <w:t>Agreements</w:t>
            </w:r>
            <w:r>
              <w:rPr>
                <w:rFonts w:ascii="Times New Roman" w:hAnsi="Times New Roman" w:eastAsia="宋体" w:cs="Times New Roman"/>
                <w:kern w:val="0"/>
                <w:sz w:val="20"/>
                <w:szCs w:val="20"/>
                <w:lang w:eastAsia="ko-KR"/>
              </w:rPr>
              <w:t xml:space="preserve"> </w:t>
            </w:r>
          </w:p>
          <w:p>
            <w:pPr>
              <w:numPr>
                <w:ilvl w:val="0"/>
                <w:numId w:val="19"/>
              </w:numPr>
              <w:spacing w:line="360" w:lineRule="auto"/>
              <w:rPr>
                <w:rFonts w:ascii="Times New Roman" w:hAnsi="Times New Roman" w:eastAsia="宋体" w:cs="Times New Roman"/>
                <w:kern w:val="0"/>
                <w:sz w:val="20"/>
                <w:szCs w:val="20"/>
              </w:rPr>
            </w:pPr>
            <w:r>
              <w:rPr>
                <w:rFonts w:ascii="Times New Roman" w:hAnsi="Times New Roman" w:eastAsia="宋体" w:cs="Times New Roman"/>
                <w:kern w:val="0"/>
                <w:sz w:val="20"/>
                <w:szCs w:val="20"/>
                <w:lang w:eastAsia="ko-KR"/>
              </w:rPr>
              <w:t>For Rel-19, only 3-step CBRA is supported for A-IoT</w:t>
            </w:r>
          </w:p>
          <w:p>
            <w:pPr>
              <w:numPr>
                <w:ilvl w:val="0"/>
                <w:numId w:val="19"/>
              </w:numPr>
              <w:spacing w:line="360" w:lineRule="auto"/>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We will specify both CBRA and CFRA. </w:t>
            </w:r>
          </w:p>
          <w:p>
            <w:pPr>
              <w:numPr>
                <w:ilvl w:val="0"/>
                <w:numId w:val="19"/>
              </w:numPr>
              <w:spacing w:line="360" w:lineRule="auto"/>
              <w:rPr>
                <w:rFonts w:ascii="Times New Roman" w:hAnsi="Times New Roman" w:eastAsia="宋体" w:cs="Times New Roman"/>
                <w:kern w:val="0"/>
                <w:sz w:val="20"/>
                <w:szCs w:val="20"/>
              </w:rPr>
            </w:pPr>
            <w:r>
              <w:rPr>
                <w:rFonts w:ascii="Times New Roman" w:hAnsi="Times New Roman" w:eastAsia="宋体" w:cs="Times New Roman"/>
                <w:kern w:val="0"/>
                <w:sz w:val="20"/>
                <w:szCs w:val="20"/>
              </w:rPr>
              <w:t xml:space="preserve">Re-use the subsequent paging message to trigger re-access.  There is no need to differentiate msg1 resource for initial access vs re-access.  </w:t>
            </w:r>
          </w:p>
          <w:p>
            <w:pPr>
              <w:numPr>
                <w:ilvl w:val="0"/>
                <w:numId w:val="19"/>
              </w:numPr>
              <w:spacing w:line="360"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NACK based mechanism is supported for D2R messages to determine re-access for at least msg3.  FFS details including whether we need a timer or explicit message and when reader sends feedback</w:t>
            </w:r>
          </w:p>
          <w:p>
            <w:pPr>
              <w:numPr>
                <w:ilvl w:val="0"/>
                <w:numId w:val="19"/>
              </w:numPr>
              <w:spacing w:line="360"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RAN2 assumes that device randomly selects among FDMA occasions as the baseline. </w:t>
            </w:r>
          </w:p>
        </w:tc>
      </w:tr>
    </w:tbl>
    <w:p>
      <w:pPr>
        <w:widowControl/>
        <w:spacing w:before="120" w:after="120" w:line="360" w:lineRule="auto"/>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In this contribution, we will further discuss the remaining issues based on the existing discussion progress.</w:t>
      </w:r>
    </w:p>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CG Times (WN)" w:hAnsi="CG Times (WN)" w:eastAsia="Times New Roman" w:cs="Times New Roman"/>
          <w:kern w:val="0"/>
          <w:sz w:val="36"/>
          <w:szCs w:val="20"/>
          <w:lang w:val="fr-FR" w:eastAsia="en-US"/>
        </w:rPr>
      </w:pPr>
      <w:r>
        <w:rPr>
          <w:rFonts w:hint="eastAsia" w:ascii="CG Times (WN)" w:hAnsi="CG Times (WN)" w:eastAsia="Times New Roman" w:cs="Times New Roman"/>
          <w:kern w:val="0"/>
          <w:sz w:val="36"/>
          <w:szCs w:val="20"/>
          <w:lang w:val="fr-FR" w:eastAsia="en-US"/>
        </w:rPr>
        <w:t>Discussion</w:t>
      </w:r>
    </w:p>
    <w:p>
      <w:pPr>
        <w:pStyle w:val="247"/>
        <w:spacing w:after="120" w:afterLines="50" w:line="360" w:lineRule="auto"/>
        <w:rPr>
          <w:rFonts w:eastAsia="宋体"/>
          <w:lang w:val="en-US" w:eastAsia="zh-CN"/>
        </w:rPr>
      </w:pPr>
      <w:bookmarkStart w:id="6" w:name="PP12"/>
      <w:r>
        <w:rPr>
          <w:rFonts w:hint="eastAsia" w:eastAsia="宋体"/>
          <w:lang w:val="en-US" w:eastAsia="zh-CN"/>
        </w:rPr>
        <w:t>Regarding the 3-step CBRA, the basic signaling procedure has been agreed as follows:</w:t>
      </w:r>
    </w:p>
    <w:p>
      <w:pPr>
        <w:pStyle w:val="247"/>
        <w:spacing w:after="120" w:afterLines="50" w:line="360" w:lineRule="auto"/>
        <w:rPr>
          <w:rFonts w:eastAsia="宋体"/>
          <w:lang w:val="en-US" w:eastAsia="zh-CN"/>
        </w:rPr>
      </w:pPr>
      <w:r>
        <w:rPr>
          <w:rFonts w:hint="eastAsia" w:eastAsia="宋体"/>
          <w:lang w:val="en-US" w:eastAsia="zh-CN"/>
        </w:rPr>
        <w:t>Step1: A-IoT Msg1. The device randomly selects its access occasion and generates a 16 - bit random ID. Then, it sends A-IoT Msg1 to the reader on the selected time-frequency resource.</w:t>
      </w:r>
    </w:p>
    <w:p>
      <w:pPr>
        <w:pStyle w:val="247"/>
        <w:spacing w:after="120" w:afterLines="50" w:line="360" w:lineRule="auto"/>
        <w:rPr>
          <w:rFonts w:eastAsia="宋体"/>
          <w:lang w:val="en-US" w:eastAsia="zh-CN"/>
        </w:rPr>
      </w:pPr>
      <w:r>
        <w:rPr>
          <w:rFonts w:hint="eastAsia" w:eastAsia="宋体"/>
          <w:lang w:val="en-US" w:eastAsia="zh-CN"/>
        </w:rPr>
        <w:t>Step2: A-IoT Msg2. After decoding Msg1, the reader responds with an ACK message and the received random ID via A-IoT Msg2. If the device successfully decodes the A-IoT Msg2 with the same random ID that was previously transmitted in A-IoT Msg1, it indicates that the contention resolution is successful.</w:t>
      </w:r>
    </w:p>
    <w:p>
      <w:pPr>
        <w:pStyle w:val="247"/>
        <w:spacing w:after="120" w:afterLines="50" w:line="360" w:lineRule="auto"/>
        <w:rPr>
          <w:rFonts w:eastAsia="宋体"/>
          <w:lang w:val="en-US" w:eastAsia="zh-CN"/>
        </w:rPr>
      </w:pPr>
      <w:r>
        <w:rPr>
          <w:rFonts w:hint="eastAsia" w:eastAsia="宋体"/>
          <w:lang w:val="en-US" w:eastAsia="zh-CN"/>
        </w:rPr>
        <w:t>Step3: A-IoT Msg3. The device sends its device ID and/or any other upper-layer data to the reader.</w:t>
      </w:r>
    </w:p>
    <w:p>
      <w:pPr>
        <w:pStyle w:val="156"/>
        <w:widowControl/>
        <w:adjustRightInd w:val="0"/>
        <w:snapToGrid w:val="0"/>
        <w:spacing w:after="120" w:afterLines="50" w:line="360" w:lineRule="auto"/>
        <w:ind w:firstLine="0"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During the SI phase discussion, the transmission resource information of Msg1 can be indicated by a paging message. If an A-IoT device needs to respond with some data (such as in response to a read command), it is meaningful for the device to report some assistance information, including the size of the data volume, to enable the reader to accurately allocate transmission resources. Regarding the transmission resource of Msg3, the reader can indicate the time-frequency resource information through Msg2.</w:t>
      </w:r>
    </w:p>
    <w:p>
      <w:pPr>
        <w:pStyle w:val="156"/>
        <w:widowControl/>
        <w:adjustRightInd w:val="0"/>
        <w:snapToGrid w:val="0"/>
        <w:spacing w:after="120" w:afterLines="50" w:line="360" w:lineRule="auto"/>
        <w:ind w:firstLine="0" w:firstLineChars="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1</w:t>
      </w:r>
      <w:r>
        <w:rPr>
          <w:rFonts w:ascii="Times New Roman" w:hAnsi="Times New Roman" w:cs="Times New Roman"/>
          <w:b/>
          <w:i/>
          <w:sz w:val="22"/>
          <w:szCs w:val="24"/>
        </w:rPr>
        <w:t xml:space="preserve">: Msg1 </w:t>
      </w:r>
      <w:r>
        <w:rPr>
          <w:rFonts w:hint="eastAsia" w:ascii="Times New Roman" w:hAnsi="Times New Roman" w:cs="Times New Roman"/>
          <w:b/>
          <w:i/>
          <w:sz w:val="22"/>
          <w:szCs w:val="24"/>
        </w:rPr>
        <w:t>may</w:t>
      </w:r>
      <w:r>
        <w:rPr>
          <w:rFonts w:ascii="Times New Roman" w:hAnsi="Times New Roman" w:cs="Times New Roman"/>
          <w:b/>
          <w:i/>
          <w:sz w:val="22"/>
          <w:szCs w:val="24"/>
        </w:rPr>
        <w:t xml:space="preserve"> include assistance information (e.g., </w:t>
      </w:r>
      <w:r>
        <w:rPr>
          <w:rFonts w:hint="eastAsia" w:ascii="Times New Roman" w:hAnsi="Times New Roman" w:cs="Times New Roman"/>
          <w:b/>
          <w:i/>
          <w:sz w:val="22"/>
          <w:szCs w:val="24"/>
        </w:rPr>
        <w:t xml:space="preserve">data </w:t>
      </w:r>
      <w:r>
        <w:rPr>
          <w:rFonts w:ascii="Times New Roman" w:hAnsi="Times New Roman" w:cs="Times New Roman"/>
          <w:b/>
          <w:i/>
          <w:sz w:val="22"/>
          <w:szCs w:val="24"/>
        </w:rPr>
        <w:t xml:space="preserve">size) to </w:t>
      </w:r>
      <w:r>
        <w:rPr>
          <w:rFonts w:hint="eastAsia" w:ascii="Times New Roman" w:hAnsi="Times New Roman" w:cs="Times New Roman"/>
          <w:b/>
          <w:i/>
          <w:sz w:val="22"/>
          <w:szCs w:val="24"/>
        </w:rPr>
        <w:t>indicate the resource for Msg3.</w:t>
      </w:r>
    </w:p>
    <w:p>
      <w:pPr>
        <w:pStyle w:val="156"/>
        <w:widowControl/>
        <w:adjustRightInd w:val="0"/>
        <w:snapToGrid w:val="0"/>
        <w:spacing w:after="120" w:afterLines="50" w:line="360" w:lineRule="auto"/>
        <w:ind w:firstLine="0" w:firstLineChars="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2</w:t>
      </w:r>
      <w:r>
        <w:rPr>
          <w:rFonts w:ascii="Times New Roman" w:hAnsi="Times New Roman" w:cs="Times New Roman"/>
          <w:b/>
          <w:i/>
          <w:sz w:val="22"/>
          <w:szCs w:val="24"/>
        </w:rPr>
        <w:t xml:space="preserve">: </w:t>
      </w:r>
      <w:r>
        <w:rPr>
          <w:rFonts w:hint="eastAsia" w:ascii="Times New Roman" w:hAnsi="Times New Roman" w:cs="Times New Roman"/>
          <w:b/>
          <w:i/>
          <w:sz w:val="22"/>
          <w:szCs w:val="24"/>
        </w:rPr>
        <w:t xml:space="preserve">The reader allocates the time-frequency resource for Msg3 via </w:t>
      </w:r>
      <w:r>
        <w:rPr>
          <w:rFonts w:ascii="Times New Roman" w:hAnsi="Times New Roman" w:cs="Times New Roman"/>
          <w:b/>
          <w:i/>
          <w:sz w:val="22"/>
          <w:szCs w:val="24"/>
        </w:rPr>
        <w:t>Msg</w:t>
      </w:r>
      <w:r>
        <w:rPr>
          <w:rFonts w:hint="eastAsia" w:ascii="Times New Roman" w:hAnsi="Times New Roman" w:cs="Times New Roman"/>
          <w:b/>
          <w:i/>
          <w:sz w:val="22"/>
          <w:szCs w:val="24"/>
        </w:rPr>
        <w:t>2.</w:t>
      </w:r>
    </w:p>
    <w:p>
      <w:pPr>
        <w:pStyle w:val="247"/>
        <w:spacing w:after="120" w:afterLines="50" w:line="360" w:lineRule="auto"/>
        <w:rPr>
          <w:lang w:val="en-US" w:eastAsia="zh-CN"/>
        </w:rPr>
      </w:pPr>
      <w:r>
        <w:rPr>
          <w:rFonts w:hint="eastAsia"/>
          <w:lang w:val="en-US" w:eastAsia="zh-CN"/>
        </w:rPr>
        <w:t>Considering the FDMA for Msg1 transmission, there may be multiple devices sending Msg1 simultaneously. In this case, one Msg2 can contain multiple responses to multiple Msg1s, which is similar to the NR system. The device can decode the corresponding random ID after receiving the Msg2. However, if the number of devices is too large, the reader can also divide Msg2 into multiple messages, depending on the implementation of the reader.</w:t>
      </w:r>
    </w:p>
    <w:p>
      <w:pPr>
        <w:pStyle w:val="247"/>
        <w:spacing w:after="120" w:afterLines="50" w:line="360" w:lineRule="auto"/>
        <w:rPr>
          <w:b/>
          <w:i/>
          <w:sz w:val="22"/>
          <w:szCs w:val="24"/>
          <w:lang w:val="en-US" w:eastAsia="zh-CN"/>
        </w:rPr>
      </w:pPr>
      <w:r>
        <w:rPr>
          <w:b/>
          <w:i/>
          <w:sz w:val="22"/>
          <w:szCs w:val="24"/>
        </w:rPr>
        <w:t>Proposal</w:t>
      </w:r>
      <w:r>
        <w:rPr>
          <w:rFonts w:hint="eastAsia"/>
          <w:b/>
          <w:i/>
          <w:sz w:val="22"/>
          <w:szCs w:val="24"/>
          <w:lang w:val="en-US" w:eastAsia="zh-CN"/>
        </w:rPr>
        <w:t xml:space="preserve"> 3</w:t>
      </w:r>
      <w:r>
        <w:rPr>
          <w:b/>
          <w:i/>
          <w:sz w:val="22"/>
          <w:szCs w:val="24"/>
        </w:rPr>
        <w:t xml:space="preserve">: </w:t>
      </w:r>
      <w:r>
        <w:rPr>
          <w:rFonts w:hint="eastAsia"/>
          <w:b/>
          <w:i/>
          <w:sz w:val="22"/>
          <w:szCs w:val="24"/>
          <w:lang w:val="en-US" w:eastAsia="zh-CN"/>
        </w:rPr>
        <w:t xml:space="preserve">One Msg2 can contain multiple responses to </w:t>
      </w:r>
      <w:r>
        <w:rPr>
          <w:b/>
          <w:i/>
          <w:sz w:val="22"/>
          <w:szCs w:val="24"/>
          <w:lang w:val="en-US" w:eastAsia="zh-CN"/>
        </w:rPr>
        <w:t>multiple</w:t>
      </w:r>
      <w:r>
        <w:rPr>
          <w:rFonts w:hint="eastAsia"/>
          <w:b/>
          <w:i/>
          <w:sz w:val="22"/>
          <w:szCs w:val="24"/>
          <w:lang w:val="en-US" w:eastAsia="zh-CN"/>
        </w:rPr>
        <w:t xml:space="preserve"> devices.</w:t>
      </w:r>
    </w:p>
    <w:p>
      <w:pPr>
        <w:pStyle w:val="247"/>
        <w:spacing w:after="120" w:afterLines="50" w:line="360" w:lineRule="auto"/>
        <w:rPr>
          <w:rFonts w:eastAsia="宋体"/>
          <w:lang w:val="en-US" w:eastAsia="zh-CN"/>
        </w:rPr>
      </w:pPr>
      <w:r>
        <w:rPr>
          <w:rFonts w:eastAsia="宋体"/>
          <w:lang w:val="en-US" w:eastAsia="zh-CN"/>
        </w:rPr>
        <w:t>For 3-step CBRA, there is an FFS regarding how to handle the situation of “not receiving the device ID”. We can observe that the reason for the failure of Msg3 is uncertain. It can be caused by either the failure of receiving Msg2 or the failure of transmitting Msg3. The reader cannot distinguish the specific cause. If the reader does not receive the “device ID” within an X-timer after sending Msg2, it can resend the same Msg2 as the last one. The format of the retransmission message is the same as that of the initial transmission of Msg2.​</w:t>
      </w:r>
    </w:p>
    <w:p>
      <w:pPr>
        <w:pStyle w:val="247"/>
        <w:spacing w:after="120" w:afterLines="50" w:line="360" w:lineRule="auto"/>
        <w:rPr>
          <w:rFonts w:eastAsia="宋体"/>
          <w:lang w:val="en-US" w:eastAsia="zh-CN"/>
        </w:rPr>
      </w:pPr>
      <w:r>
        <w:rPr>
          <w:rFonts w:eastAsia="宋体"/>
          <w:lang w:val="en-US" w:eastAsia="zh-CN"/>
        </w:rPr>
        <w:t xml:space="preserve">However, continuously retransmitting Msg2 will lead to a waste of resources and prove to be an inefficient approach. Therefore, the number of Msg2 retransmissions can be limited to avoid abnormal situations. The maximum number of retransmissions is determined by the reader. When the maximum number of retransmissions of Msg2 is reached and Msg3 has not been successfully received </w:t>
      </w:r>
      <w:r>
        <w:rPr>
          <w:rFonts w:hint="eastAsia" w:eastAsia="宋体"/>
          <w:lang w:val="en-US" w:eastAsia="zh-CN"/>
        </w:rPr>
        <w:t>yet</w:t>
      </w:r>
      <w:r>
        <w:rPr>
          <w:rFonts w:eastAsia="宋体"/>
          <w:lang w:val="en-US" w:eastAsia="zh-CN"/>
        </w:rPr>
        <w:t>, a NACK indication will be sent to the device to wait for re-access.</w:t>
      </w:r>
    </w:p>
    <w:p>
      <w:pPr>
        <w:pStyle w:val="247"/>
        <w:spacing w:after="120" w:afterLines="50" w:line="360" w:lineRule="auto"/>
        <w:rPr>
          <w:b/>
          <w:i/>
          <w:sz w:val="22"/>
          <w:szCs w:val="24"/>
          <w:lang w:val="en-US" w:eastAsia="zh-CN"/>
        </w:rPr>
      </w:pPr>
      <w:r>
        <w:rPr>
          <w:b/>
          <w:i/>
          <w:sz w:val="22"/>
          <w:szCs w:val="24"/>
        </w:rPr>
        <w:t>Proposal</w:t>
      </w:r>
      <w:r>
        <w:rPr>
          <w:rFonts w:hint="eastAsia"/>
          <w:b/>
          <w:i/>
          <w:sz w:val="22"/>
          <w:szCs w:val="24"/>
          <w:lang w:val="en-US" w:eastAsia="zh-CN"/>
        </w:rPr>
        <w:t xml:space="preserve"> 4: The reader may retransmit Msg2 in the same format as the initial one if it doesn't receive the “device ID” within a certain period of time.</w:t>
      </w:r>
    </w:p>
    <w:p>
      <w:pPr>
        <w:pStyle w:val="247"/>
        <w:spacing w:after="120" w:afterLines="50" w:line="360" w:lineRule="auto"/>
        <w:rPr>
          <w:b/>
          <w:i/>
          <w:sz w:val="22"/>
          <w:szCs w:val="24"/>
          <w:lang w:val="en-US" w:eastAsia="zh-CN"/>
        </w:rPr>
      </w:pPr>
      <w:bookmarkStart w:id="7" w:name="OLE_LINK1"/>
      <w:r>
        <w:rPr>
          <w:rFonts w:hint="eastAsia"/>
          <w:b/>
          <w:i/>
          <w:sz w:val="22"/>
          <w:szCs w:val="24"/>
          <w:lang w:val="en-US" w:eastAsia="zh-CN"/>
        </w:rPr>
        <w:t>Proposal 5: RAN2 assumes that the maximum number of Msg2 retransmissions is determined by the reader.</w:t>
      </w:r>
    </w:p>
    <w:bookmarkEnd w:id="7"/>
    <w:p>
      <w:pPr>
        <w:pStyle w:val="247"/>
        <w:spacing w:after="120" w:afterLines="50" w:line="360" w:lineRule="auto"/>
        <w:rPr>
          <w:rFonts w:eastAsia="宋体"/>
          <w:lang w:val="en-US" w:eastAsia="zh-CN"/>
        </w:rPr>
      </w:pPr>
      <w:r>
        <w:rPr>
          <w:rFonts w:eastAsia="宋体"/>
          <w:lang w:val="en-US" w:eastAsia="zh-CN"/>
        </w:rPr>
        <w:t xml:space="preserve">Regarding the NACK mechanism, we have agreed that a NACK-based mechanism is supported for D2R messages to determine re-access, at least for </w:t>
      </w:r>
      <w:r>
        <w:rPr>
          <w:rFonts w:hint="eastAsia" w:eastAsia="宋体"/>
          <w:lang w:val="en-US" w:eastAsia="zh-CN"/>
        </w:rPr>
        <w:t>M</w:t>
      </w:r>
      <w:r>
        <w:rPr>
          <w:rFonts w:eastAsia="宋体"/>
          <w:lang w:val="en-US" w:eastAsia="zh-CN"/>
        </w:rPr>
        <w:t>sg3. In some cases, there may be multiple failed devices to be indicated by NACK. To reduce the overhead of the message type in the A - IoT MAC header, it is efficient to have a NACK indication that can include the ID information of multiple failed devices.</w:t>
      </w:r>
    </w:p>
    <w:p>
      <w:pPr>
        <w:pStyle w:val="247"/>
        <w:spacing w:after="120" w:afterLines="50" w:line="360" w:lineRule="auto"/>
        <w:rPr>
          <w:rFonts w:eastAsia="宋体"/>
          <w:lang w:val="en-US" w:eastAsia="zh-CN"/>
        </w:rPr>
      </w:pPr>
      <w:r>
        <w:rPr>
          <w:rFonts w:hint="eastAsia"/>
          <w:b/>
          <w:i/>
          <w:sz w:val="22"/>
          <w:szCs w:val="24"/>
          <w:lang w:val="en-US" w:eastAsia="zh-CN"/>
        </w:rPr>
        <w:t>Proposal 6: A NACK indication can include ID information of multiple failed devices.</w:t>
      </w:r>
    </w:p>
    <w:p>
      <w:pPr>
        <w:pStyle w:val="247"/>
        <w:spacing w:after="120" w:afterLines="50" w:line="360" w:lineRule="auto"/>
        <w:rPr>
          <w:rFonts w:eastAsia="宋体"/>
          <w:lang w:val="en-US" w:eastAsia="zh-CN"/>
        </w:rPr>
      </w:pPr>
      <w:r>
        <w:rPr>
          <w:rFonts w:eastAsia="宋体"/>
          <w:lang w:val="en-US" w:eastAsia="zh-CN"/>
        </w:rPr>
        <w:t>As for the re-access procedure, the subsequent paging message is used to trigger re-access. Different from the initial paging message with the same service request, the subsequent paging message may include a one-bit indication in the A-IoT MAC header. This bit indicates that this is the message used to trigger re-access. In this way, those devices that have accessed successfully will no longer process this subsequent paging message. This reduces redundant signaling transmission and improves communication efficiency.</w:t>
      </w:r>
    </w:p>
    <w:p>
      <w:pPr>
        <w:pStyle w:val="247"/>
        <w:spacing w:after="120" w:afterLines="50" w:line="360" w:lineRule="auto"/>
        <w:rPr>
          <w:b/>
          <w:i/>
          <w:sz w:val="22"/>
          <w:szCs w:val="24"/>
          <w:lang w:val="en-US" w:eastAsia="zh-CN"/>
        </w:rPr>
      </w:pPr>
      <w:r>
        <w:rPr>
          <w:b/>
          <w:i/>
          <w:sz w:val="22"/>
          <w:szCs w:val="24"/>
        </w:rPr>
        <w:t xml:space="preserve">Proposal </w:t>
      </w:r>
      <w:r>
        <w:rPr>
          <w:rFonts w:hint="eastAsia"/>
          <w:b/>
          <w:i/>
          <w:sz w:val="22"/>
          <w:szCs w:val="24"/>
          <w:lang w:val="en-US" w:eastAsia="zh-CN"/>
        </w:rPr>
        <w:t>7</w:t>
      </w:r>
      <w:r>
        <w:rPr>
          <w:b/>
          <w:i/>
          <w:sz w:val="22"/>
          <w:szCs w:val="24"/>
        </w:rPr>
        <w:t xml:space="preserve">: </w:t>
      </w:r>
      <w:r>
        <w:rPr>
          <w:rFonts w:hint="eastAsia" w:eastAsia="宋体"/>
          <w:b/>
          <w:i/>
          <w:sz w:val="22"/>
          <w:szCs w:val="24"/>
          <w:lang w:val="en-US" w:eastAsia="zh-CN"/>
        </w:rPr>
        <w:t>A o</w:t>
      </w:r>
      <w:r>
        <w:rPr>
          <w:rFonts w:hint="eastAsia"/>
          <w:b/>
          <w:i/>
          <w:sz w:val="22"/>
          <w:szCs w:val="24"/>
          <w:lang w:val="en-US" w:eastAsia="zh-CN"/>
        </w:rPr>
        <w:t>ne-bit re-access indication may be included in the subsequent paging message.</w:t>
      </w:r>
    </w:p>
    <w:p>
      <w:pPr>
        <w:pStyle w:val="247"/>
        <w:spacing w:after="120" w:afterLines="50" w:line="360" w:lineRule="auto"/>
        <w:rPr>
          <w:rFonts w:eastAsia="宋体"/>
          <w:lang w:val="en-US" w:eastAsia="zh-CN"/>
        </w:rPr>
      </w:pPr>
      <w:r>
        <w:rPr>
          <w:rFonts w:eastAsia="宋体"/>
          <w:lang w:val="en-US" w:eastAsia="zh-CN"/>
        </w:rPr>
        <w:t>Moreover, in addition to the subsequent paging message used for re-access, an explicit R2D message can also be defined to trigger the re-access procedure. To make use of the unoccupied opportunities in the initial access round, this explicit R2D message can trigger the failed devices to re-access, which is an efficient way to fully utilize the remaining resources.</w:t>
      </w:r>
    </w:p>
    <w:p>
      <w:pPr>
        <w:pStyle w:val="247"/>
        <w:spacing w:after="120" w:afterLines="50" w:line="360" w:lineRule="auto"/>
        <w:rPr>
          <w:b/>
          <w:i/>
          <w:sz w:val="22"/>
          <w:szCs w:val="24"/>
          <w:lang w:val="en-US" w:eastAsia="zh-CN"/>
        </w:rPr>
      </w:pPr>
      <w:bookmarkStart w:id="8" w:name="OLE_LINK3"/>
      <w:r>
        <w:rPr>
          <w:b/>
          <w:i/>
          <w:sz w:val="22"/>
          <w:szCs w:val="24"/>
        </w:rPr>
        <w:t xml:space="preserve">Proposal </w:t>
      </w:r>
      <w:r>
        <w:rPr>
          <w:rFonts w:hint="eastAsia"/>
          <w:b/>
          <w:i/>
          <w:sz w:val="22"/>
          <w:szCs w:val="24"/>
          <w:lang w:val="en-US" w:eastAsia="zh-CN"/>
        </w:rPr>
        <w:t>8</w:t>
      </w:r>
      <w:r>
        <w:rPr>
          <w:b/>
          <w:i/>
          <w:sz w:val="22"/>
          <w:szCs w:val="24"/>
        </w:rPr>
        <w:t xml:space="preserve">: </w:t>
      </w:r>
      <w:bookmarkEnd w:id="8"/>
      <w:r>
        <w:rPr>
          <w:rFonts w:hint="eastAsia"/>
          <w:b/>
          <w:i/>
          <w:sz w:val="22"/>
          <w:szCs w:val="24"/>
          <w:lang w:val="en-US" w:eastAsia="zh-CN"/>
        </w:rPr>
        <w:t>A new R2D message should be defined to trigger re-access during the initial access round.</w:t>
      </w:r>
    </w:p>
    <w:bookmarkEnd w:id="6"/>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fr-FR"/>
        </w:rPr>
        <w:t>Conclusion</w:t>
      </w:r>
    </w:p>
    <w:p>
      <w:pPr>
        <w:pStyle w:val="156"/>
        <w:widowControl/>
        <w:adjustRightInd w:val="0"/>
        <w:snapToGrid w:val="0"/>
        <w:spacing w:after="120" w:afterLines="50" w:line="360" w:lineRule="auto"/>
        <w:ind w:firstLine="0" w:firstLineChars="0"/>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This contribution makes the following proposals:</w:t>
      </w:r>
    </w:p>
    <w:p>
      <w:pPr>
        <w:pStyle w:val="156"/>
        <w:widowControl/>
        <w:adjustRightInd w:val="0"/>
        <w:snapToGrid w:val="0"/>
        <w:spacing w:after="120" w:afterLines="50" w:line="360" w:lineRule="auto"/>
        <w:ind w:firstLine="0" w:firstLineChars="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1</w:t>
      </w:r>
      <w:r>
        <w:rPr>
          <w:rFonts w:ascii="Times New Roman" w:hAnsi="Times New Roman" w:cs="Times New Roman"/>
          <w:b/>
          <w:i/>
          <w:sz w:val="22"/>
          <w:szCs w:val="24"/>
        </w:rPr>
        <w:t xml:space="preserve">: Msg1 </w:t>
      </w:r>
      <w:r>
        <w:rPr>
          <w:rFonts w:hint="eastAsia" w:ascii="Times New Roman" w:hAnsi="Times New Roman" w:cs="Times New Roman"/>
          <w:b/>
          <w:i/>
          <w:sz w:val="22"/>
          <w:szCs w:val="24"/>
        </w:rPr>
        <w:t>may</w:t>
      </w:r>
      <w:r>
        <w:rPr>
          <w:rFonts w:ascii="Times New Roman" w:hAnsi="Times New Roman" w:cs="Times New Roman"/>
          <w:b/>
          <w:i/>
          <w:sz w:val="22"/>
          <w:szCs w:val="24"/>
        </w:rPr>
        <w:t xml:space="preserve"> include assistance information (e.g., </w:t>
      </w:r>
      <w:r>
        <w:rPr>
          <w:rFonts w:hint="eastAsia" w:ascii="Times New Roman" w:hAnsi="Times New Roman" w:cs="Times New Roman"/>
          <w:b/>
          <w:i/>
          <w:sz w:val="22"/>
          <w:szCs w:val="24"/>
        </w:rPr>
        <w:t xml:space="preserve">data </w:t>
      </w:r>
      <w:r>
        <w:rPr>
          <w:rFonts w:ascii="Times New Roman" w:hAnsi="Times New Roman" w:cs="Times New Roman"/>
          <w:b/>
          <w:i/>
          <w:sz w:val="22"/>
          <w:szCs w:val="24"/>
        </w:rPr>
        <w:t xml:space="preserve">size) to </w:t>
      </w:r>
      <w:r>
        <w:rPr>
          <w:rFonts w:hint="eastAsia" w:ascii="Times New Roman" w:hAnsi="Times New Roman" w:cs="Times New Roman"/>
          <w:b/>
          <w:i/>
          <w:sz w:val="22"/>
          <w:szCs w:val="24"/>
        </w:rPr>
        <w:t>indicate the resource for Msg3.</w:t>
      </w:r>
    </w:p>
    <w:p>
      <w:pPr>
        <w:pStyle w:val="156"/>
        <w:widowControl/>
        <w:adjustRightInd w:val="0"/>
        <w:snapToGrid w:val="0"/>
        <w:spacing w:after="120" w:afterLines="50" w:line="360" w:lineRule="auto"/>
        <w:ind w:firstLine="0" w:firstLineChars="0"/>
        <w:rPr>
          <w:rFonts w:ascii="Times New Roman" w:hAnsi="Times New Roman" w:cs="Times New Roman"/>
          <w:b/>
          <w:i/>
          <w:sz w:val="22"/>
          <w:szCs w:val="24"/>
        </w:rPr>
      </w:pPr>
      <w:r>
        <w:rPr>
          <w:rFonts w:ascii="Times New Roman" w:hAnsi="Times New Roman" w:cs="Times New Roman"/>
          <w:b/>
          <w:i/>
          <w:sz w:val="22"/>
          <w:szCs w:val="24"/>
        </w:rPr>
        <w:t xml:space="preserve">Proposal </w:t>
      </w:r>
      <w:r>
        <w:rPr>
          <w:rFonts w:hint="eastAsia" w:ascii="Times New Roman" w:hAnsi="Times New Roman" w:cs="Times New Roman"/>
          <w:b/>
          <w:i/>
          <w:sz w:val="22"/>
          <w:szCs w:val="24"/>
        </w:rPr>
        <w:t>2</w:t>
      </w:r>
      <w:r>
        <w:rPr>
          <w:rFonts w:ascii="Times New Roman" w:hAnsi="Times New Roman" w:cs="Times New Roman"/>
          <w:b/>
          <w:i/>
          <w:sz w:val="22"/>
          <w:szCs w:val="24"/>
        </w:rPr>
        <w:t xml:space="preserve">: </w:t>
      </w:r>
      <w:r>
        <w:rPr>
          <w:rFonts w:hint="eastAsia" w:ascii="Times New Roman" w:hAnsi="Times New Roman" w:cs="Times New Roman"/>
          <w:b/>
          <w:i/>
          <w:sz w:val="22"/>
          <w:szCs w:val="24"/>
        </w:rPr>
        <w:t xml:space="preserve">The reader allocates the time-frequency resource for Msg3 via </w:t>
      </w:r>
      <w:r>
        <w:rPr>
          <w:rFonts w:ascii="Times New Roman" w:hAnsi="Times New Roman" w:cs="Times New Roman"/>
          <w:b/>
          <w:i/>
          <w:sz w:val="22"/>
          <w:szCs w:val="24"/>
        </w:rPr>
        <w:t>Msg</w:t>
      </w:r>
      <w:r>
        <w:rPr>
          <w:rFonts w:hint="eastAsia" w:ascii="Times New Roman" w:hAnsi="Times New Roman" w:cs="Times New Roman"/>
          <w:b/>
          <w:i/>
          <w:sz w:val="22"/>
          <w:szCs w:val="24"/>
        </w:rPr>
        <w:t>2.</w:t>
      </w:r>
    </w:p>
    <w:p>
      <w:pPr>
        <w:pStyle w:val="247"/>
        <w:spacing w:after="120" w:afterLines="50" w:line="360" w:lineRule="auto"/>
        <w:rPr>
          <w:b/>
          <w:i/>
          <w:sz w:val="22"/>
          <w:szCs w:val="24"/>
          <w:lang w:val="en-US" w:eastAsia="zh-CN"/>
        </w:rPr>
      </w:pPr>
      <w:r>
        <w:rPr>
          <w:b/>
          <w:i/>
          <w:sz w:val="22"/>
          <w:szCs w:val="24"/>
        </w:rPr>
        <w:t>Proposal</w:t>
      </w:r>
      <w:r>
        <w:rPr>
          <w:rFonts w:hint="eastAsia"/>
          <w:b/>
          <w:i/>
          <w:sz w:val="22"/>
          <w:szCs w:val="24"/>
          <w:lang w:val="en-US" w:eastAsia="zh-CN"/>
        </w:rPr>
        <w:t xml:space="preserve"> 3</w:t>
      </w:r>
      <w:r>
        <w:rPr>
          <w:b/>
          <w:i/>
          <w:sz w:val="22"/>
          <w:szCs w:val="24"/>
        </w:rPr>
        <w:t xml:space="preserve">: </w:t>
      </w:r>
      <w:r>
        <w:rPr>
          <w:rFonts w:hint="eastAsia"/>
          <w:b/>
          <w:i/>
          <w:sz w:val="22"/>
          <w:szCs w:val="24"/>
          <w:lang w:val="en-US" w:eastAsia="zh-CN"/>
        </w:rPr>
        <w:t xml:space="preserve">One Msg2 can contain multiple responses to </w:t>
      </w:r>
      <w:r>
        <w:rPr>
          <w:b/>
          <w:i/>
          <w:sz w:val="22"/>
          <w:szCs w:val="24"/>
          <w:lang w:val="en-US" w:eastAsia="zh-CN"/>
        </w:rPr>
        <w:t>multiple</w:t>
      </w:r>
      <w:r>
        <w:rPr>
          <w:rFonts w:hint="eastAsia"/>
          <w:b/>
          <w:i/>
          <w:sz w:val="22"/>
          <w:szCs w:val="24"/>
          <w:lang w:val="en-US" w:eastAsia="zh-CN"/>
        </w:rPr>
        <w:t xml:space="preserve"> devices.</w:t>
      </w:r>
    </w:p>
    <w:p>
      <w:pPr>
        <w:pStyle w:val="247"/>
        <w:spacing w:after="120" w:afterLines="50" w:line="360" w:lineRule="auto"/>
        <w:rPr>
          <w:b/>
          <w:i/>
          <w:sz w:val="22"/>
          <w:szCs w:val="24"/>
          <w:lang w:val="en-US" w:eastAsia="zh-CN"/>
        </w:rPr>
      </w:pPr>
      <w:r>
        <w:rPr>
          <w:b/>
          <w:i/>
          <w:sz w:val="22"/>
          <w:szCs w:val="24"/>
        </w:rPr>
        <w:t>Proposal</w:t>
      </w:r>
      <w:r>
        <w:rPr>
          <w:rFonts w:hint="eastAsia"/>
          <w:b/>
          <w:i/>
          <w:sz w:val="22"/>
          <w:szCs w:val="24"/>
          <w:lang w:val="en-US" w:eastAsia="zh-CN"/>
        </w:rPr>
        <w:t xml:space="preserve"> 4: The reader may retransmit Msg2 in the same format as the initial one if it doesn't receive the “device ID” within a certain period of time.</w:t>
      </w:r>
    </w:p>
    <w:p>
      <w:pPr>
        <w:pStyle w:val="247"/>
        <w:spacing w:after="120" w:afterLines="50" w:line="360" w:lineRule="auto"/>
        <w:rPr>
          <w:b/>
          <w:i/>
          <w:sz w:val="22"/>
          <w:szCs w:val="24"/>
          <w:lang w:val="en-US" w:eastAsia="zh-CN"/>
        </w:rPr>
      </w:pPr>
      <w:r>
        <w:rPr>
          <w:rFonts w:hint="eastAsia"/>
          <w:b/>
          <w:i/>
          <w:sz w:val="22"/>
          <w:szCs w:val="24"/>
          <w:lang w:val="en-US" w:eastAsia="zh-CN"/>
        </w:rPr>
        <w:t>Proposal 5: RAN2 assumes that the maximum number of Msg2 retransmissions is determined by the reader.</w:t>
      </w:r>
    </w:p>
    <w:p>
      <w:pPr>
        <w:pStyle w:val="247"/>
        <w:spacing w:after="120" w:afterLines="50" w:line="360" w:lineRule="auto"/>
        <w:rPr>
          <w:rFonts w:eastAsia="宋体"/>
          <w:lang w:val="en-US" w:eastAsia="zh-CN"/>
        </w:rPr>
      </w:pPr>
      <w:r>
        <w:rPr>
          <w:rFonts w:hint="eastAsia"/>
          <w:b/>
          <w:i/>
          <w:sz w:val="22"/>
          <w:szCs w:val="24"/>
          <w:lang w:val="en-US" w:eastAsia="zh-CN"/>
        </w:rPr>
        <w:t>Proposal 6: A NACK indication can include ID information of multiple failed devices.</w:t>
      </w:r>
    </w:p>
    <w:p>
      <w:pPr>
        <w:pStyle w:val="247"/>
        <w:spacing w:after="120" w:afterLines="50" w:line="360" w:lineRule="auto"/>
        <w:rPr>
          <w:b/>
          <w:i/>
          <w:sz w:val="22"/>
          <w:szCs w:val="24"/>
          <w:lang w:val="en-US" w:eastAsia="zh-CN"/>
        </w:rPr>
      </w:pPr>
      <w:r>
        <w:rPr>
          <w:b/>
          <w:i/>
          <w:sz w:val="22"/>
          <w:szCs w:val="24"/>
        </w:rPr>
        <w:t xml:space="preserve">Proposal </w:t>
      </w:r>
      <w:r>
        <w:rPr>
          <w:rFonts w:hint="eastAsia"/>
          <w:b/>
          <w:i/>
          <w:sz w:val="22"/>
          <w:szCs w:val="24"/>
          <w:lang w:val="en-US" w:eastAsia="zh-CN"/>
        </w:rPr>
        <w:t>7</w:t>
      </w:r>
      <w:r>
        <w:rPr>
          <w:b/>
          <w:i/>
          <w:sz w:val="22"/>
          <w:szCs w:val="24"/>
        </w:rPr>
        <w:t xml:space="preserve">: </w:t>
      </w:r>
      <w:r>
        <w:rPr>
          <w:rFonts w:hint="eastAsia" w:eastAsia="宋体"/>
          <w:b/>
          <w:i/>
          <w:sz w:val="22"/>
          <w:szCs w:val="24"/>
          <w:lang w:val="en-US" w:eastAsia="zh-CN"/>
        </w:rPr>
        <w:t>A o</w:t>
      </w:r>
      <w:r>
        <w:rPr>
          <w:rFonts w:hint="eastAsia"/>
          <w:b/>
          <w:i/>
          <w:sz w:val="22"/>
          <w:szCs w:val="24"/>
          <w:lang w:val="en-US" w:eastAsia="zh-CN"/>
        </w:rPr>
        <w:t>ne-bit re-access indication may be included in the subsequent paging message.</w:t>
      </w:r>
    </w:p>
    <w:p>
      <w:pPr>
        <w:pStyle w:val="247"/>
        <w:spacing w:after="120" w:afterLines="50" w:line="360" w:lineRule="auto"/>
        <w:rPr>
          <w:b/>
          <w:i/>
          <w:sz w:val="22"/>
          <w:szCs w:val="24"/>
          <w:lang w:val="en-US" w:eastAsia="zh-CN"/>
        </w:rPr>
      </w:pPr>
      <w:r>
        <w:rPr>
          <w:b/>
          <w:i/>
          <w:sz w:val="22"/>
          <w:szCs w:val="24"/>
        </w:rPr>
        <w:t xml:space="preserve">Proposal </w:t>
      </w:r>
      <w:r>
        <w:rPr>
          <w:rFonts w:hint="eastAsia"/>
          <w:b/>
          <w:i/>
          <w:sz w:val="22"/>
          <w:szCs w:val="24"/>
          <w:lang w:val="en-US" w:eastAsia="zh-CN"/>
        </w:rPr>
        <w:t>8</w:t>
      </w:r>
      <w:r>
        <w:rPr>
          <w:b/>
          <w:i/>
          <w:sz w:val="22"/>
          <w:szCs w:val="24"/>
        </w:rPr>
        <w:t xml:space="preserve">: </w:t>
      </w:r>
      <w:r>
        <w:rPr>
          <w:rFonts w:hint="eastAsia"/>
          <w:b/>
          <w:i/>
          <w:sz w:val="22"/>
          <w:szCs w:val="24"/>
          <w:lang w:val="en-US" w:eastAsia="zh-CN"/>
        </w:rPr>
        <w:t>A new R2D message should be defined to trigger re-access during the initial access round.</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widowControl/>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宋体" w:cs="Times New Roman"/>
          <w:kern w:val="0"/>
          <w:sz w:val="20"/>
          <w:szCs w:val="20"/>
        </w:rPr>
        <w:t>[1] 3GPP RAN2#129 Chair notes.</w:t>
      </w: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45CA8E"/>
    <w:multiLevelType w:val="singleLevel"/>
    <w:tmpl w:val="D945CA8E"/>
    <w:lvl w:ilvl="0" w:tentative="0">
      <w:start w:val="1"/>
      <w:numFmt w:val="bullet"/>
      <w:lvlText w:val=""/>
      <w:lvlJc w:val="left"/>
      <w:pPr>
        <w:ind w:left="420" w:hanging="420"/>
      </w:pPr>
      <w:rPr>
        <w:rFonts w:hint="default" w:ascii="Symbol" w:hAnsi="Symbol" w:cs="Symbol"/>
      </w:rPr>
    </w:lvl>
  </w:abstractNum>
  <w:abstractNum w:abstractNumId="1">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1">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3">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5">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7">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8">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18"/>
  </w:num>
  <w:num w:numId="8">
    <w:abstractNumId w:val="8"/>
  </w:num>
  <w:num w:numId="9">
    <w:abstractNumId w:val="5"/>
  </w:num>
  <w:num w:numId="10">
    <w:abstractNumId w:val="2"/>
  </w:num>
  <w:num w:numId="11">
    <w:abstractNumId w:val="1"/>
  </w:num>
  <w:num w:numId="12">
    <w:abstractNumId w:val="15"/>
  </w:num>
  <w:num w:numId="13">
    <w:abstractNumId w:val="13"/>
  </w:num>
  <w:num w:numId="14">
    <w:abstractNumId w:val="14"/>
  </w:num>
  <w:num w:numId="15">
    <w:abstractNumId w:val="11"/>
  </w:num>
  <w:num w:numId="16">
    <w:abstractNumId w:val="17"/>
  </w:num>
  <w:num w:numId="17">
    <w:abstractNumId w:val="12"/>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hideSpellingErrors/>
  <w:hideGrammaticalError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696"/>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71E"/>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3EEB"/>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A6E1F"/>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0EC"/>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545C"/>
    <w:rsid w:val="0061622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30"/>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5908"/>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47"/>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291"/>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593"/>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0ED6"/>
    <w:rsid w:val="00A6213D"/>
    <w:rsid w:val="00A629CB"/>
    <w:rsid w:val="00A62CF6"/>
    <w:rsid w:val="00A6399D"/>
    <w:rsid w:val="00A63CC6"/>
    <w:rsid w:val="00A6428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4D1"/>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516"/>
    <w:rsid w:val="00C13BB6"/>
    <w:rsid w:val="00C13C91"/>
    <w:rsid w:val="00C13D7C"/>
    <w:rsid w:val="00C13EE0"/>
    <w:rsid w:val="00C1498B"/>
    <w:rsid w:val="00C14DFE"/>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36AE"/>
    <w:rsid w:val="00CF497B"/>
    <w:rsid w:val="00CF526D"/>
    <w:rsid w:val="00CF5950"/>
    <w:rsid w:val="00CF5DF7"/>
    <w:rsid w:val="00CF6708"/>
    <w:rsid w:val="00CF6C52"/>
    <w:rsid w:val="00CF73AA"/>
    <w:rsid w:val="00D00263"/>
    <w:rsid w:val="00D009A5"/>
    <w:rsid w:val="00D0140D"/>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6347D7"/>
    <w:rsid w:val="01923B0A"/>
    <w:rsid w:val="01D03B06"/>
    <w:rsid w:val="02E76B51"/>
    <w:rsid w:val="02FA5B72"/>
    <w:rsid w:val="031125B9"/>
    <w:rsid w:val="039D4465"/>
    <w:rsid w:val="03F66D0E"/>
    <w:rsid w:val="042102C1"/>
    <w:rsid w:val="04B34B43"/>
    <w:rsid w:val="054E4D41"/>
    <w:rsid w:val="057C458C"/>
    <w:rsid w:val="05BD1814"/>
    <w:rsid w:val="05DA4EBC"/>
    <w:rsid w:val="05E277B3"/>
    <w:rsid w:val="05F27A4D"/>
    <w:rsid w:val="061D7998"/>
    <w:rsid w:val="06231EE3"/>
    <w:rsid w:val="06334EE0"/>
    <w:rsid w:val="070C181F"/>
    <w:rsid w:val="07A71963"/>
    <w:rsid w:val="0834182C"/>
    <w:rsid w:val="08A53B3F"/>
    <w:rsid w:val="08B56357"/>
    <w:rsid w:val="08E81E12"/>
    <w:rsid w:val="09705425"/>
    <w:rsid w:val="09DE4A06"/>
    <w:rsid w:val="0B8E538E"/>
    <w:rsid w:val="0BAF57FE"/>
    <w:rsid w:val="0C053C2E"/>
    <w:rsid w:val="0C3E7B22"/>
    <w:rsid w:val="0C747FFC"/>
    <w:rsid w:val="0CC051C1"/>
    <w:rsid w:val="0D7B4307"/>
    <w:rsid w:val="0D8C535C"/>
    <w:rsid w:val="0D906017"/>
    <w:rsid w:val="0DA2082D"/>
    <w:rsid w:val="0DC573BC"/>
    <w:rsid w:val="0DCF2837"/>
    <w:rsid w:val="0DD1524A"/>
    <w:rsid w:val="0DE201D3"/>
    <w:rsid w:val="0DF208EC"/>
    <w:rsid w:val="0FD30983"/>
    <w:rsid w:val="0FFB6025"/>
    <w:rsid w:val="10083C9F"/>
    <w:rsid w:val="10B7034C"/>
    <w:rsid w:val="11046252"/>
    <w:rsid w:val="11130582"/>
    <w:rsid w:val="113F3DEC"/>
    <w:rsid w:val="11624912"/>
    <w:rsid w:val="11A3317D"/>
    <w:rsid w:val="12332647"/>
    <w:rsid w:val="12FD2134"/>
    <w:rsid w:val="130265BC"/>
    <w:rsid w:val="130C6ECC"/>
    <w:rsid w:val="134B7CB5"/>
    <w:rsid w:val="135A4A4C"/>
    <w:rsid w:val="1382238D"/>
    <w:rsid w:val="14C41AA0"/>
    <w:rsid w:val="15BA32B2"/>
    <w:rsid w:val="15C23F41"/>
    <w:rsid w:val="15EF5D0A"/>
    <w:rsid w:val="166F4160"/>
    <w:rsid w:val="1696521E"/>
    <w:rsid w:val="169A3446"/>
    <w:rsid w:val="17364B70"/>
    <w:rsid w:val="176048E7"/>
    <w:rsid w:val="17636AF8"/>
    <w:rsid w:val="177A3B5A"/>
    <w:rsid w:val="17C2269C"/>
    <w:rsid w:val="17C31108"/>
    <w:rsid w:val="17EE3247"/>
    <w:rsid w:val="18095983"/>
    <w:rsid w:val="183563D5"/>
    <w:rsid w:val="188126FA"/>
    <w:rsid w:val="188A1105"/>
    <w:rsid w:val="188A3040"/>
    <w:rsid w:val="18AD187A"/>
    <w:rsid w:val="18FD6EB0"/>
    <w:rsid w:val="19DC4FFB"/>
    <w:rsid w:val="19E70E0E"/>
    <w:rsid w:val="1A9D2DFB"/>
    <w:rsid w:val="1AAF5F88"/>
    <w:rsid w:val="1B6E7990"/>
    <w:rsid w:val="1BA76221"/>
    <w:rsid w:val="1BC46583"/>
    <w:rsid w:val="1C9828F5"/>
    <w:rsid w:val="1CA51CE8"/>
    <w:rsid w:val="1CBC79A9"/>
    <w:rsid w:val="1CE85325"/>
    <w:rsid w:val="1D1F3AD3"/>
    <w:rsid w:val="1D3B3A62"/>
    <w:rsid w:val="1D8D2F01"/>
    <w:rsid w:val="1DAC27BE"/>
    <w:rsid w:val="1DAC2BE5"/>
    <w:rsid w:val="1E4538B6"/>
    <w:rsid w:val="1E480D33"/>
    <w:rsid w:val="1E8A0B27"/>
    <w:rsid w:val="1EEB78C7"/>
    <w:rsid w:val="1F63408D"/>
    <w:rsid w:val="1F7222FA"/>
    <w:rsid w:val="1FC30874"/>
    <w:rsid w:val="200D4526"/>
    <w:rsid w:val="20531999"/>
    <w:rsid w:val="20901F59"/>
    <w:rsid w:val="20A11AB0"/>
    <w:rsid w:val="20B72208"/>
    <w:rsid w:val="20EC6113"/>
    <w:rsid w:val="20EE004B"/>
    <w:rsid w:val="21571F96"/>
    <w:rsid w:val="21B76116"/>
    <w:rsid w:val="220C3FEC"/>
    <w:rsid w:val="226E5336"/>
    <w:rsid w:val="22E55ECD"/>
    <w:rsid w:val="22E57D9C"/>
    <w:rsid w:val="22FD3574"/>
    <w:rsid w:val="230A3782"/>
    <w:rsid w:val="23681EC9"/>
    <w:rsid w:val="23CC7EC0"/>
    <w:rsid w:val="24051BA8"/>
    <w:rsid w:val="249F6523"/>
    <w:rsid w:val="2601616B"/>
    <w:rsid w:val="263F3343"/>
    <w:rsid w:val="2759091B"/>
    <w:rsid w:val="275F2824"/>
    <w:rsid w:val="28165655"/>
    <w:rsid w:val="281D775F"/>
    <w:rsid w:val="28275AF0"/>
    <w:rsid w:val="28854AD1"/>
    <w:rsid w:val="28D44C9D"/>
    <w:rsid w:val="28DE3F9A"/>
    <w:rsid w:val="293D1DB5"/>
    <w:rsid w:val="29627BC5"/>
    <w:rsid w:val="29645895"/>
    <w:rsid w:val="29B77500"/>
    <w:rsid w:val="29E4170D"/>
    <w:rsid w:val="29EF6EF2"/>
    <w:rsid w:val="29F67C23"/>
    <w:rsid w:val="2A2420B3"/>
    <w:rsid w:val="2AB22C1B"/>
    <w:rsid w:val="2AF46F08"/>
    <w:rsid w:val="2B1D6992"/>
    <w:rsid w:val="2BB4773C"/>
    <w:rsid w:val="2C1E78EF"/>
    <w:rsid w:val="2C2262F5"/>
    <w:rsid w:val="2C300E8E"/>
    <w:rsid w:val="2C5113C3"/>
    <w:rsid w:val="2C7B2207"/>
    <w:rsid w:val="2CAC1213"/>
    <w:rsid w:val="2CC77187"/>
    <w:rsid w:val="2DA66471"/>
    <w:rsid w:val="2E402DEC"/>
    <w:rsid w:val="2E8344C8"/>
    <w:rsid w:val="2ECF17F7"/>
    <w:rsid w:val="2FAE604C"/>
    <w:rsid w:val="2FB9045A"/>
    <w:rsid w:val="2FE616C0"/>
    <w:rsid w:val="30191835"/>
    <w:rsid w:val="30A91F61"/>
    <w:rsid w:val="3105267B"/>
    <w:rsid w:val="317C583F"/>
    <w:rsid w:val="31E569A9"/>
    <w:rsid w:val="32A233A1"/>
    <w:rsid w:val="333124C1"/>
    <w:rsid w:val="33421C25"/>
    <w:rsid w:val="33995EB7"/>
    <w:rsid w:val="33A63DAB"/>
    <w:rsid w:val="33B00F80"/>
    <w:rsid w:val="33D37459"/>
    <w:rsid w:val="34413D46"/>
    <w:rsid w:val="349E665E"/>
    <w:rsid w:val="34DB1112"/>
    <w:rsid w:val="351C3576"/>
    <w:rsid w:val="358024D4"/>
    <w:rsid w:val="35AF0C16"/>
    <w:rsid w:val="35E129CB"/>
    <w:rsid w:val="35FE0421"/>
    <w:rsid w:val="36231CDE"/>
    <w:rsid w:val="36561233"/>
    <w:rsid w:val="366208C9"/>
    <w:rsid w:val="36D76309"/>
    <w:rsid w:val="37617FCF"/>
    <w:rsid w:val="37AC3905"/>
    <w:rsid w:val="37C75C12"/>
    <w:rsid w:val="37CD7B1B"/>
    <w:rsid w:val="37D00A9F"/>
    <w:rsid w:val="389926E7"/>
    <w:rsid w:val="38C12712"/>
    <w:rsid w:val="39635633"/>
    <w:rsid w:val="39702742"/>
    <w:rsid w:val="3981700C"/>
    <w:rsid w:val="39C87543"/>
    <w:rsid w:val="3A2F68BD"/>
    <w:rsid w:val="3AF060BE"/>
    <w:rsid w:val="3B266E9D"/>
    <w:rsid w:val="3B7B22CC"/>
    <w:rsid w:val="3B7F24AA"/>
    <w:rsid w:val="3B9A4359"/>
    <w:rsid w:val="3BF511EF"/>
    <w:rsid w:val="3C2760B3"/>
    <w:rsid w:val="3C2B1D49"/>
    <w:rsid w:val="3C876732"/>
    <w:rsid w:val="3CCC59CF"/>
    <w:rsid w:val="3D07322A"/>
    <w:rsid w:val="3D407F0C"/>
    <w:rsid w:val="3D6830C4"/>
    <w:rsid w:val="3DC36006"/>
    <w:rsid w:val="3E640997"/>
    <w:rsid w:val="3EDC58F6"/>
    <w:rsid w:val="3EEF1AD2"/>
    <w:rsid w:val="3F890D4B"/>
    <w:rsid w:val="3F9B62FD"/>
    <w:rsid w:val="3FBB1942"/>
    <w:rsid w:val="3FE40160"/>
    <w:rsid w:val="4057146E"/>
    <w:rsid w:val="405939A2"/>
    <w:rsid w:val="40830F63"/>
    <w:rsid w:val="40F819A3"/>
    <w:rsid w:val="4141261B"/>
    <w:rsid w:val="414C642D"/>
    <w:rsid w:val="41A13939"/>
    <w:rsid w:val="41B30DBC"/>
    <w:rsid w:val="41BF2EE9"/>
    <w:rsid w:val="41CB46E9"/>
    <w:rsid w:val="42730227"/>
    <w:rsid w:val="43572665"/>
    <w:rsid w:val="43861D09"/>
    <w:rsid w:val="43C83A33"/>
    <w:rsid w:val="44BC6155"/>
    <w:rsid w:val="44BF3856"/>
    <w:rsid w:val="45300692"/>
    <w:rsid w:val="45864F94"/>
    <w:rsid w:val="45B75102"/>
    <w:rsid w:val="460E4ACA"/>
    <w:rsid w:val="4620554E"/>
    <w:rsid w:val="464004CF"/>
    <w:rsid w:val="464469C3"/>
    <w:rsid w:val="467C4AB1"/>
    <w:rsid w:val="47293CD0"/>
    <w:rsid w:val="478D5F73"/>
    <w:rsid w:val="47C34DC8"/>
    <w:rsid w:val="48433D7A"/>
    <w:rsid w:val="487E54FB"/>
    <w:rsid w:val="48AF04A1"/>
    <w:rsid w:val="48AF30A8"/>
    <w:rsid w:val="48BB5A04"/>
    <w:rsid w:val="48E716A7"/>
    <w:rsid w:val="49000053"/>
    <w:rsid w:val="495C31A5"/>
    <w:rsid w:val="4A0B5F87"/>
    <w:rsid w:val="4A154318"/>
    <w:rsid w:val="4A22142F"/>
    <w:rsid w:val="4A2C3F3D"/>
    <w:rsid w:val="4A70372C"/>
    <w:rsid w:val="4AF667A1"/>
    <w:rsid w:val="4B270CDD"/>
    <w:rsid w:val="4B357FF2"/>
    <w:rsid w:val="4B4E035E"/>
    <w:rsid w:val="4B5E7B32"/>
    <w:rsid w:val="4B5F643E"/>
    <w:rsid w:val="4B7E16EB"/>
    <w:rsid w:val="4B917087"/>
    <w:rsid w:val="4BB835B6"/>
    <w:rsid w:val="4C33574D"/>
    <w:rsid w:val="4C63431C"/>
    <w:rsid w:val="4C6D57EC"/>
    <w:rsid w:val="4D0363AD"/>
    <w:rsid w:val="4D0619FF"/>
    <w:rsid w:val="4DC61225"/>
    <w:rsid w:val="4DE07BD1"/>
    <w:rsid w:val="4F522031"/>
    <w:rsid w:val="4F8E4414"/>
    <w:rsid w:val="4FA17831"/>
    <w:rsid w:val="4FDA045F"/>
    <w:rsid w:val="50803722"/>
    <w:rsid w:val="50891D2D"/>
    <w:rsid w:val="50CE033F"/>
    <w:rsid w:val="50E23A41"/>
    <w:rsid w:val="50F0440A"/>
    <w:rsid w:val="511E0023"/>
    <w:rsid w:val="512C0A59"/>
    <w:rsid w:val="51427728"/>
    <w:rsid w:val="51597A9B"/>
    <w:rsid w:val="51FA6427"/>
    <w:rsid w:val="520738B2"/>
    <w:rsid w:val="52545EA1"/>
    <w:rsid w:val="525E4232"/>
    <w:rsid w:val="52611934"/>
    <w:rsid w:val="52A1019F"/>
    <w:rsid w:val="52D82877"/>
    <w:rsid w:val="52E73D22"/>
    <w:rsid w:val="53213033"/>
    <w:rsid w:val="5328717E"/>
    <w:rsid w:val="532F62A8"/>
    <w:rsid w:val="534D06B4"/>
    <w:rsid w:val="534F4E11"/>
    <w:rsid w:val="537F2FC7"/>
    <w:rsid w:val="53AA52E3"/>
    <w:rsid w:val="53C01DE8"/>
    <w:rsid w:val="53E20B6E"/>
    <w:rsid w:val="54032364"/>
    <w:rsid w:val="540909EB"/>
    <w:rsid w:val="554B00FD"/>
    <w:rsid w:val="559F40AD"/>
    <w:rsid w:val="55B7742C"/>
    <w:rsid w:val="56006CBD"/>
    <w:rsid w:val="56242DB2"/>
    <w:rsid w:val="56313B8B"/>
    <w:rsid w:val="58664B17"/>
    <w:rsid w:val="590B4042"/>
    <w:rsid w:val="592B1245"/>
    <w:rsid w:val="595F092C"/>
    <w:rsid w:val="59B36D38"/>
    <w:rsid w:val="59BE6718"/>
    <w:rsid w:val="59FD5EB2"/>
    <w:rsid w:val="5A945FE1"/>
    <w:rsid w:val="5AB94067"/>
    <w:rsid w:val="5AF2428E"/>
    <w:rsid w:val="5AFB17C0"/>
    <w:rsid w:val="5B673C65"/>
    <w:rsid w:val="5B836FB3"/>
    <w:rsid w:val="5BB000E1"/>
    <w:rsid w:val="5C692729"/>
    <w:rsid w:val="5CC475BF"/>
    <w:rsid w:val="5CC62AC2"/>
    <w:rsid w:val="5D7F5DD7"/>
    <w:rsid w:val="5D946993"/>
    <w:rsid w:val="5DE271F3"/>
    <w:rsid w:val="5DFC0B37"/>
    <w:rsid w:val="5DFD6972"/>
    <w:rsid w:val="5E142764"/>
    <w:rsid w:val="5EAD1F71"/>
    <w:rsid w:val="5EB21369"/>
    <w:rsid w:val="5EE842C4"/>
    <w:rsid w:val="5EFF5265"/>
    <w:rsid w:val="5F0C4760"/>
    <w:rsid w:val="5F25254F"/>
    <w:rsid w:val="5F3C12CD"/>
    <w:rsid w:val="5F777E2D"/>
    <w:rsid w:val="5F8116DF"/>
    <w:rsid w:val="5F9573DD"/>
    <w:rsid w:val="5F9F7CED"/>
    <w:rsid w:val="5FB85324"/>
    <w:rsid w:val="5FFD5B08"/>
    <w:rsid w:val="600F7B2E"/>
    <w:rsid w:val="6030554B"/>
    <w:rsid w:val="60423F87"/>
    <w:rsid w:val="604C110A"/>
    <w:rsid w:val="605C13A4"/>
    <w:rsid w:val="605E7463"/>
    <w:rsid w:val="60767D50"/>
    <w:rsid w:val="60805DB4"/>
    <w:rsid w:val="610D6FCA"/>
    <w:rsid w:val="612E74FF"/>
    <w:rsid w:val="61946EA3"/>
    <w:rsid w:val="619501A8"/>
    <w:rsid w:val="61C4248D"/>
    <w:rsid w:val="61D31386"/>
    <w:rsid w:val="63AD0817"/>
    <w:rsid w:val="63B36E9D"/>
    <w:rsid w:val="646060BC"/>
    <w:rsid w:val="64A5552C"/>
    <w:rsid w:val="64D72281"/>
    <w:rsid w:val="65A11F4C"/>
    <w:rsid w:val="66C303CC"/>
    <w:rsid w:val="67A44560"/>
    <w:rsid w:val="688F2246"/>
    <w:rsid w:val="68981FA9"/>
    <w:rsid w:val="693A17B3"/>
    <w:rsid w:val="694D731F"/>
    <w:rsid w:val="69D4612E"/>
    <w:rsid w:val="69FD4F9F"/>
    <w:rsid w:val="6A48066B"/>
    <w:rsid w:val="6A9F68FE"/>
    <w:rsid w:val="6B40098D"/>
    <w:rsid w:val="6B665D8D"/>
    <w:rsid w:val="6BDA0E02"/>
    <w:rsid w:val="6C030941"/>
    <w:rsid w:val="6C2B298A"/>
    <w:rsid w:val="6C9F7F81"/>
    <w:rsid w:val="6DFA687D"/>
    <w:rsid w:val="6E2B704C"/>
    <w:rsid w:val="6E9375A1"/>
    <w:rsid w:val="6EE874C4"/>
    <w:rsid w:val="6FCF76FD"/>
    <w:rsid w:val="6FE67322"/>
    <w:rsid w:val="6FF675BD"/>
    <w:rsid w:val="704354BE"/>
    <w:rsid w:val="708C3C73"/>
    <w:rsid w:val="70A409DA"/>
    <w:rsid w:val="7165689A"/>
    <w:rsid w:val="71770297"/>
    <w:rsid w:val="71D578DE"/>
    <w:rsid w:val="71FD6CA3"/>
    <w:rsid w:val="72625139"/>
    <w:rsid w:val="72752E54"/>
    <w:rsid w:val="72DC3AFD"/>
    <w:rsid w:val="73222633"/>
    <w:rsid w:val="737F790A"/>
    <w:rsid w:val="74042F6D"/>
    <w:rsid w:val="74D015DB"/>
    <w:rsid w:val="754664F5"/>
    <w:rsid w:val="75645FCD"/>
    <w:rsid w:val="7565655C"/>
    <w:rsid w:val="75795053"/>
    <w:rsid w:val="75AD35E1"/>
    <w:rsid w:val="760D23F9"/>
    <w:rsid w:val="762D2F6F"/>
    <w:rsid w:val="763D73C5"/>
    <w:rsid w:val="767F74F6"/>
    <w:rsid w:val="76910A96"/>
    <w:rsid w:val="76A839BC"/>
    <w:rsid w:val="76AA163F"/>
    <w:rsid w:val="76AD4D0C"/>
    <w:rsid w:val="76DB1E0E"/>
    <w:rsid w:val="77181C73"/>
    <w:rsid w:val="77476F3F"/>
    <w:rsid w:val="782D769F"/>
    <w:rsid w:val="784D67ED"/>
    <w:rsid w:val="78555DF8"/>
    <w:rsid w:val="78DE02DA"/>
    <w:rsid w:val="78DE6B63"/>
    <w:rsid w:val="791C5C34"/>
    <w:rsid w:val="792B14B2"/>
    <w:rsid w:val="79326A03"/>
    <w:rsid w:val="793C35BB"/>
    <w:rsid w:val="795246D5"/>
    <w:rsid w:val="79822FE7"/>
    <w:rsid w:val="79987709"/>
    <w:rsid w:val="79BC316C"/>
    <w:rsid w:val="7A377612"/>
    <w:rsid w:val="7AC66145"/>
    <w:rsid w:val="7AF3437A"/>
    <w:rsid w:val="7B4E0CBB"/>
    <w:rsid w:val="7B690C89"/>
    <w:rsid w:val="7BCF062D"/>
    <w:rsid w:val="7BD62F0E"/>
    <w:rsid w:val="7C0C0492"/>
    <w:rsid w:val="7C2C67C8"/>
    <w:rsid w:val="7C376B38"/>
    <w:rsid w:val="7C805752"/>
    <w:rsid w:val="7CC2473D"/>
    <w:rsid w:val="7CC44208"/>
    <w:rsid w:val="7D0719AF"/>
    <w:rsid w:val="7D581AD7"/>
    <w:rsid w:val="7D78481D"/>
    <w:rsid w:val="7DAE1EBA"/>
    <w:rsid w:val="7DF63568"/>
    <w:rsid w:val="7E8E441D"/>
    <w:rsid w:val="7E994343"/>
    <w:rsid w:val="7EA52354"/>
    <w:rsid w:val="7EA81866"/>
    <w:rsid w:val="7EA954AC"/>
    <w:rsid w:val="7ECA4B12"/>
    <w:rsid w:val="7EE47B3C"/>
    <w:rsid w:val="7F001769"/>
    <w:rsid w:val="7F3541C2"/>
    <w:rsid w:val="7F9A60E4"/>
    <w:rsid w:val="7FB03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spacing w:before="240" w:after="60"/>
      <w:outlineLvl w:val="1"/>
    </w:pPr>
    <w:rPr>
      <w:rFonts w:eastAsia="MS Mincho"/>
      <w:iCs/>
      <w:kern w:val="0"/>
      <w:sz w:val="20"/>
      <w:szCs w:val="28"/>
    </w:rPr>
  </w:style>
  <w:style w:type="paragraph" w:styleId="5">
    <w:name w:val="heading 3"/>
    <w:basedOn w:val="4"/>
    <w:next w:val="1"/>
    <w:link w:val="97"/>
    <w:qFormat/>
    <w:uiPriority w:val="0"/>
    <w:pPr>
      <w:tabs>
        <w:tab w:val="left" w:pos="-5500"/>
      </w:tabs>
      <w:outlineLvl w:val="2"/>
    </w:pPr>
    <w:rPr>
      <w:sz w:val="26"/>
      <w:szCs w:val="26"/>
      <w:lang w:eastAsia="en-US"/>
    </w:rPr>
  </w:style>
  <w:style w:type="paragraph" w:styleId="6">
    <w:name w:val="heading 4"/>
    <w:basedOn w:val="5"/>
    <w:next w:val="1"/>
    <w:link w:val="98"/>
    <w:qFormat/>
    <w:uiPriority w:val="0"/>
    <w:pPr>
      <w:outlineLvl w:val="3"/>
    </w:pPr>
    <w:rPr>
      <w:rFonts w:ascii="CG Times (WN)" w:hAnsi="CG Times (WN)" w:cs="Times New Roman"/>
      <w:sz w:val="28"/>
      <w:szCs w:val="28"/>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出段落 字符"/>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numPr>
        <w:ilvl w:val="0"/>
        <w:numId w:val="13"/>
      </w:numPr>
      <w:tabs>
        <w:tab w:val="left" w:pos="1701"/>
        <w:tab w:val="clear" w:pos="1304"/>
      </w:tabs>
      <w:overflowPunct w:val="0"/>
      <w:autoSpaceDE w:val="0"/>
      <w:autoSpaceDN w:val="0"/>
      <w:adjustRightInd w:val="0"/>
      <w:ind w:left="1701" w:hanging="1701"/>
      <w:textAlignment w:val="baseline"/>
    </w:pPr>
    <w:rPr>
      <w:rFonts w:ascii="Arial" w:hAnsi="Arial" w:eastAsia="宋体"/>
      <w:b/>
      <w:bCs/>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basedOn w:val="1"/>
    <w:qFormat/>
    <w:uiPriority w:val="1"/>
    <w:rPr>
      <w:rFonts w:ascii="Times New Roman" w:hAnsi="Times New Roman" w:eastAsia="MS Mincho" w:cs="Times New Roman"/>
      <w:kern w:val="0"/>
      <w:sz w:val="20"/>
      <w:szCs w:val="20"/>
      <w:lang w:val="en-GB" w:eastAsia="en-US"/>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修订2"/>
    <w:hidden/>
    <w:semiHidden/>
    <w:qFormat/>
    <w:uiPriority w:val="99"/>
    <w:rPr>
      <w:rFonts w:ascii="CG Times (WN)" w:hAnsi="CG Times (WN)" w:eastAsia="Times New Roman" w:cs="Times New Roman"/>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AD82140-34AA-40DB-ACBD-229057185EA5}">
  <ds:schemaRefs/>
</ds:datastoreItem>
</file>

<file path=customXml/itemProps2.xml><?xml version="1.0" encoding="utf-8"?>
<ds:datastoreItem xmlns:ds="http://schemas.openxmlformats.org/officeDocument/2006/customXml" ds:itemID="{0BED3E8F-CD85-4A03-9AA4-86A357A2D89D}">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62B3730A-21DD-4164-A6B8-1B0DEE774B52}">
  <ds:schemaRefs/>
</ds:datastoreItem>
</file>

<file path=docProps/app.xml><?xml version="1.0" encoding="utf-8"?>
<Properties xmlns="http://schemas.openxmlformats.org/officeDocument/2006/extended-properties" xmlns:vt="http://schemas.openxmlformats.org/officeDocument/2006/docPropsVTypes">
  <Template>Normal</Template>
  <Pages>3</Pages>
  <Words>990</Words>
  <Characters>5643</Characters>
  <Lines>47</Lines>
  <Paragraphs>13</Paragraphs>
  <TotalTime>2</TotalTime>
  <ScaleCrop>false</ScaleCrop>
  <LinksUpToDate>false</LinksUpToDate>
  <CharactersWithSpaces>6620</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2025-03-28T00:48:00Z</dcterms:created>
  <dc:creator>Kai Wu(vivo)</dc:creator>
  <cp:lastModifiedBy>HP</cp:lastModifiedBy>
  <dcterms:modified xsi:type="dcterms:W3CDTF">2025-03-28T02:15:10Z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DB340907082444D1A10F98FD760CF2DA_13</vt:lpwstr>
  </property>
</Properties>
</file>